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3F14" w14:textId="6CC727A7" w:rsidR="003016A7" w:rsidRPr="00F37D41" w:rsidRDefault="00A84A01" w:rsidP="00065FBB">
      <w:pPr>
        <w:rPr>
          <w:rFonts w:cs="Arial"/>
          <w:b/>
          <w:bCs/>
          <w:color w:val="000080"/>
          <w:sz w:val="28"/>
          <w:szCs w:val="28"/>
        </w:rPr>
      </w:pPr>
      <w:r w:rsidRPr="00F37D41">
        <w:rPr>
          <w:rFonts w:cs="Arial"/>
          <w:b/>
          <w:bCs/>
          <w:color w:val="000080"/>
          <w:sz w:val="28"/>
          <w:szCs w:val="28"/>
        </w:rPr>
        <w:t>5-vuotisuusinta</w:t>
      </w:r>
      <w:r w:rsidR="003016A7" w:rsidRPr="00F37D41">
        <w:rPr>
          <w:rFonts w:cs="Arial"/>
          <w:b/>
          <w:bCs/>
          <w:color w:val="000080"/>
          <w:sz w:val="28"/>
          <w:szCs w:val="28"/>
        </w:rPr>
        <w:t xml:space="preserve">kyselyllä (review) </w:t>
      </w:r>
      <w:r w:rsidR="0085477B" w:rsidRPr="00F37D41">
        <w:rPr>
          <w:rFonts w:cs="Arial"/>
          <w:b/>
          <w:bCs/>
          <w:color w:val="000080"/>
          <w:sz w:val="28"/>
          <w:szCs w:val="28"/>
        </w:rPr>
        <w:t xml:space="preserve">olevat </w:t>
      </w:r>
      <w:r w:rsidR="00901E5A" w:rsidRPr="00F37D41">
        <w:rPr>
          <w:rFonts w:cs="Arial"/>
          <w:b/>
          <w:bCs/>
          <w:color w:val="000080"/>
          <w:sz w:val="28"/>
          <w:szCs w:val="28"/>
        </w:rPr>
        <w:t>EN -</w:t>
      </w:r>
      <w:r w:rsidR="003016A7" w:rsidRPr="00F37D41">
        <w:rPr>
          <w:rFonts w:cs="Arial"/>
          <w:b/>
          <w:bCs/>
          <w:color w:val="000080"/>
          <w:sz w:val="28"/>
          <w:szCs w:val="28"/>
        </w:rPr>
        <w:t>standardit</w:t>
      </w:r>
    </w:p>
    <w:p w14:paraId="6A8B87F4" w14:textId="77777777" w:rsidR="00271530" w:rsidRPr="00F37D41" w:rsidRDefault="00271530" w:rsidP="00901E5A">
      <w:pPr>
        <w:ind w:left="1304"/>
        <w:rPr>
          <w:rFonts w:cs="Arial"/>
          <w:b/>
          <w:bCs/>
          <w:color w:val="000080"/>
          <w:sz w:val="24"/>
          <w:szCs w:val="24"/>
        </w:rPr>
      </w:pPr>
    </w:p>
    <w:p w14:paraId="05EB837F" w14:textId="3FCF8E63" w:rsidR="00271530" w:rsidRPr="00F02BE8" w:rsidRDefault="008C2E6B" w:rsidP="001C4387">
      <w:pPr>
        <w:rPr>
          <w:rFonts w:cs="Arial"/>
          <w:b/>
          <w:bCs/>
          <w:color w:val="000080"/>
          <w:sz w:val="24"/>
          <w:szCs w:val="24"/>
        </w:rPr>
      </w:pPr>
      <w:r w:rsidRPr="00F02BE8">
        <w:rPr>
          <w:rFonts w:cs="Arial"/>
          <w:b/>
          <w:bCs/>
          <w:color w:val="000080"/>
          <w:sz w:val="24"/>
          <w:szCs w:val="24"/>
        </w:rPr>
        <w:t>Aihealue:</w:t>
      </w:r>
    </w:p>
    <w:p w14:paraId="3720492C" w14:textId="77777777" w:rsidR="001C4387" w:rsidRPr="00F02BE8" w:rsidRDefault="001C4387" w:rsidP="008C2E6B">
      <w:pPr>
        <w:ind w:left="1664"/>
        <w:rPr>
          <w:rFonts w:cs="Arial"/>
          <w:b/>
          <w:bCs/>
          <w:color w:val="000080"/>
          <w:sz w:val="24"/>
          <w:szCs w:val="24"/>
        </w:rPr>
      </w:pPr>
    </w:p>
    <w:p w14:paraId="57987379" w14:textId="7339EF59" w:rsidR="00C93583" w:rsidRDefault="00C93583" w:rsidP="00C93583">
      <w:pPr>
        <w:pStyle w:val="Luettelokappale"/>
        <w:numPr>
          <w:ilvl w:val="0"/>
          <w:numId w:val="8"/>
        </w:numPr>
        <w:ind w:left="993" w:hanging="284"/>
        <w:rPr>
          <w:rFonts w:cs="Arial"/>
          <w:b/>
          <w:bCs/>
          <w:color w:val="000080"/>
          <w:sz w:val="24"/>
          <w:szCs w:val="24"/>
          <w:lang w:val="en-US"/>
        </w:rPr>
      </w:pPr>
      <w:r>
        <w:rPr>
          <w:rFonts w:cs="Arial"/>
          <w:b/>
          <w:bCs/>
          <w:color w:val="000080"/>
          <w:sz w:val="24"/>
          <w:szCs w:val="24"/>
          <w:lang w:val="en-US"/>
        </w:rPr>
        <w:t>CEN</w:t>
      </w:r>
      <w:r w:rsidR="001A6A2E">
        <w:rPr>
          <w:rFonts w:cs="Arial"/>
          <w:b/>
          <w:bCs/>
          <w:color w:val="000080"/>
          <w:sz w:val="24"/>
          <w:szCs w:val="24"/>
          <w:lang w:val="en-US"/>
        </w:rPr>
        <w:t>/</w:t>
      </w:r>
      <w:r>
        <w:rPr>
          <w:rFonts w:cs="Arial"/>
          <w:b/>
          <w:bCs/>
          <w:color w:val="000080"/>
          <w:sz w:val="24"/>
          <w:szCs w:val="24"/>
          <w:lang w:val="en-US"/>
        </w:rPr>
        <w:t>TC 230 Water Analysis</w:t>
      </w:r>
    </w:p>
    <w:p w14:paraId="634602CE" w14:textId="6AD9F8B0" w:rsidR="00065FBB" w:rsidRPr="00C93583" w:rsidRDefault="00A91AFF" w:rsidP="00C93583">
      <w:pPr>
        <w:pStyle w:val="Luettelokappale"/>
        <w:numPr>
          <w:ilvl w:val="0"/>
          <w:numId w:val="8"/>
        </w:numPr>
        <w:ind w:left="993" w:hanging="284"/>
        <w:rPr>
          <w:rFonts w:cs="Arial"/>
          <w:b/>
          <w:bCs/>
          <w:color w:val="000080"/>
          <w:sz w:val="24"/>
          <w:szCs w:val="24"/>
          <w:lang w:val="en-US"/>
        </w:rPr>
      </w:pPr>
      <w:r w:rsidRPr="00C93583">
        <w:rPr>
          <w:rFonts w:cs="Arial"/>
          <w:b/>
          <w:bCs/>
          <w:color w:val="000080"/>
          <w:sz w:val="24"/>
          <w:szCs w:val="24"/>
          <w:lang w:val="en-US"/>
        </w:rPr>
        <w:t>CEN/TC 3</w:t>
      </w:r>
      <w:r w:rsidR="001A6A2E">
        <w:rPr>
          <w:rFonts w:cs="Arial"/>
          <w:b/>
          <w:bCs/>
          <w:color w:val="000080"/>
          <w:sz w:val="24"/>
          <w:szCs w:val="24"/>
          <w:lang w:val="en-US"/>
        </w:rPr>
        <w:t>1</w:t>
      </w:r>
      <w:r w:rsidRPr="00C93583">
        <w:rPr>
          <w:rFonts w:cs="Arial"/>
          <w:b/>
          <w:bCs/>
          <w:color w:val="000080"/>
          <w:sz w:val="24"/>
          <w:szCs w:val="24"/>
          <w:lang w:val="en-US"/>
        </w:rPr>
        <w:t xml:space="preserve">8 </w:t>
      </w:r>
      <w:r w:rsidR="001A6A2E" w:rsidRPr="001A6A2E">
        <w:rPr>
          <w:rFonts w:cs="Arial"/>
          <w:b/>
          <w:bCs/>
          <w:color w:val="000080"/>
          <w:sz w:val="24"/>
          <w:szCs w:val="24"/>
          <w:lang w:val="en-US"/>
        </w:rPr>
        <w:t>Hydrometry</w:t>
      </w:r>
    </w:p>
    <w:p w14:paraId="6D3278E4" w14:textId="4EB6C9E3" w:rsidR="00065FBB" w:rsidRPr="00065FBB" w:rsidRDefault="00065FBB" w:rsidP="00065FBB">
      <w:pPr>
        <w:pStyle w:val="Luettelokappale"/>
        <w:numPr>
          <w:ilvl w:val="0"/>
          <w:numId w:val="8"/>
        </w:numPr>
        <w:ind w:left="993" w:hanging="284"/>
        <w:rPr>
          <w:rFonts w:cs="Arial"/>
          <w:b/>
          <w:bCs/>
          <w:color w:val="000080"/>
          <w:sz w:val="24"/>
          <w:szCs w:val="24"/>
          <w:lang w:val="en-US"/>
        </w:rPr>
      </w:pPr>
      <w:r w:rsidRPr="00065FBB">
        <w:rPr>
          <w:rFonts w:cs="Arial"/>
          <w:b/>
          <w:bCs/>
          <w:color w:val="000080"/>
          <w:sz w:val="24"/>
          <w:szCs w:val="24"/>
          <w:lang w:val="en-US"/>
        </w:rPr>
        <w:t>CEN/TC 444 Environmental characterization of solid matrices</w:t>
      </w:r>
    </w:p>
    <w:p w14:paraId="6CD1F251" w14:textId="77777777" w:rsidR="00065FBB" w:rsidRPr="00F37D41" w:rsidRDefault="00065FBB" w:rsidP="00065FBB">
      <w:pPr>
        <w:pStyle w:val="Luettelokappale"/>
        <w:ind w:left="993"/>
        <w:rPr>
          <w:rFonts w:cs="Arial"/>
          <w:b/>
          <w:bCs/>
          <w:color w:val="000080"/>
          <w:sz w:val="24"/>
          <w:szCs w:val="24"/>
          <w:lang w:val="en-US"/>
        </w:rPr>
      </w:pPr>
    </w:p>
    <w:p w14:paraId="39EDCB40" w14:textId="77777777" w:rsidR="00DE3513" w:rsidRDefault="00DE3513" w:rsidP="00DE3513">
      <w:pPr>
        <w:jc w:val="center"/>
        <w:rPr>
          <w:rFonts w:cs="Arial"/>
          <w:b/>
          <w:bCs/>
          <w:color w:val="000080"/>
          <w:sz w:val="24"/>
          <w:szCs w:val="24"/>
          <w:lang w:val="en-US"/>
        </w:rPr>
      </w:pPr>
    </w:p>
    <w:p w14:paraId="47C7260F" w14:textId="11135806" w:rsidR="00EE27DB" w:rsidRPr="00DC0B31" w:rsidRDefault="00693F12" w:rsidP="00DE3513">
      <w:pPr>
        <w:rPr>
          <w:rFonts w:cs="Arial"/>
          <w:b/>
          <w:bCs/>
          <w:color w:val="000000" w:themeColor="text1"/>
          <w:sz w:val="27"/>
          <w:szCs w:val="27"/>
        </w:rPr>
      </w:pPr>
      <w:r w:rsidRPr="00693F12">
        <w:rPr>
          <w:rFonts w:cs="Arial"/>
          <w:b/>
          <w:bCs/>
          <w:color w:val="000000" w:themeColor="text1"/>
          <w:sz w:val="27"/>
          <w:szCs w:val="27"/>
        </w:rPr>
        <w:t xml:space="preserve">Kansallinen lausuntoaika </w:t>
      </w:r>
      <w:bookmarkStart w:id="0" w:name="_Hlk101341516"/>
      <w:r w:rsidR="004762BA">
        <w:rPr>
          <w:rFonts w:cs="Arial"/>
          <w:b/>
          <w:bCs/>
          <w:color w:val="000000" w:themeColor="text1"/>
          <w:sz w:val="27"/>
          <w:szCs w:val="27"/>
        </w:rPr>
        <w:t>21.10</w:t>
      </w:r>
      <w:r w:rsidR="00C93583">
        <w:rPr>
          <w:rFonts w:cs="Arial"/>
          <w:b/>
          <w:bCs/>
          <w:color w:val="000000" w:themeColor="text1"/>
          <w:sz w:val="27"/>
          <w:szCs w:val="27"/>
        </w:rPr>
        <w:t>.</w:t>
      </w:r>
      <w:r w:rsidR="004762BA">
        <w:rPr>
          <w:rFonts w:cs="Arial"/>
          <w:b/>
          <w:bCs/>
          <w:color w:val="000000" w:themeColor="text1"/>
          <w:sz w:val="27"/>
          <w:szCs w:val="27"/>
        </w:rPr>
        <w:t>2024</w:t>
      </w:r>
      <w:r w:rsidRPr="00693F12">
        <w:rPr>
          <w:rFonts w:cs="Arial"/>
          <w:b/>
          <w:bCs/>
          <w:color w:val="000000" w:themeColor="text1"/>
          <w:sz w:val="27"/>
          <w:szCs w:val="27"/>
        </w:rPr>
        <w:t xml:space="preserve"> – </w:t>
      </w:r>
      <w:bookmarkEnd w:id="0"/>
      <w:r w:rsidR="004762BA">
        <w:rPr>
          <w:rFonts w:cs="Arial"/>
          <w:b/>
          <w:bCs/>
          <w:color w:val="000000" w:themeColor="text1"/>
          <w:sz w:val="27"/>
          <w:szCs w:val="27"/>
        </w:rPr>
        <w:t>14.2.2025</w:t>
      </w:r>
    </w:p>
    <w:p w14:paraId="3E0BF646" w14:textId="77777777" w:rsidR="003016A7" w:rsidRPr="003016A7" w:rsidRDefault="003016A7" w:rsidP="003016A7">
      <w:pPr>
        <w:jc w:val="center"/>
        <w:rPr>
          <w:rFonts w:cs="Arial"/>
          <w:b/>
          <w:bCs/>
          <w:color w:val="000080"/>
          <w:sz w:val="27"/>
          <w:szCs w:val="27"/>
        </w:rPr>
      </w:pPr>
    </w:p>
    <w:p w14:paraId="0027821D" w14:textId="5CA35209" w:rsidR="003016A7" w:rsidRPr="00EE100C" w:rsidRDefault="003016A7" w:rsidP="00DC0B31">
      <w:pPr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b/>
          <w:szCs w:val="22"/>
        </w:rPr>
      </w:pPr>
      <w:r w:rsidRPr="00EE100C">
        <w:rPr>
          <w:rFonts w:cs="Arial"/>
          <w:b/>
          <w:color w:val="000000"/>
          <w:szCs w:val="22"/>
        </w:rPr>
        <w:t>Halutessasi kom</w:t>
      </w:r>
      <w:r w:rsidR="00271530" w:rsidRPr="00EE100C">
        <w:rPr>
          <w:rFonts w:cs="Arial"/>
          <w:b/>
          <w:color w:val="000000"/>
          <w:szCs w:val="22"/>
        </w:rPr>
        <w:t xml:space="preserve">mentoida lausunnolla olevia </w:t>
      </w:r>
      <w:r w:rsidRPr="00EE100C">
        <w:rPr>
          <w:rFonts w:cs="Arial"/>
          <w:b/>
          <w:color w:val="000000"/>
          <w:szCs w:val="22"/>
        </w:rPr>
        <w:t xml:space="preserve">standardeja, ota yhteys </w:t>
      </w:r>
      <w:r w:rsidR="00A91AFF">
        <w:rPr>
          <w:rFonts w:cs="Arial"/>
          <w:b/>
          <w:color w:val="000000"/>
          <w:szCs w:val="22"/>
        </w:rPr>
        <w:t>Suomen ympäristökeskuksen</w:t>
      </w:r>
      <w:r w:rsidR="00DC0B31" w:rsidRPr="00EE100C">
        <w:rPr>
          <w:rFonts w:cs="Arial"/>
          <w:b/>
          <w:color w:val="000000"/>
          <w:szCs w:val="22"/>
        </w:rPr>
        <w:t xml:space="preserve"> toimialayhdyshenkilöön</w:t>
      </w:r>
      <w:r w:rsidR="00E33794" w:rsidRPr="00EE100C">
        <w:rPr>
          <w:rFonts w:cs="Arial"/>
          <w:b/>
          <w:color w:val="000000"/>
          <w:szCs w:val="22"/>
        </w:rPr>
        <w:t xml:space="preserve"> </w:t>
      </w:r>
      <w:r w:rsidR="00226592" w:rsidRPr="00EE100C">
        <w:rPr>
          <w:rFonts w:cs="Arial"/>
          <w:b/>
          <w:color w:val="000000"/>
          <w:szCs w:val="22"/>
        </w:rPr>
        <w:t>Jari Nuutinen</w:t>
      </w:r>
      <w:r w:rsidR="00E33794" w:rsidRPr="00EE100C">
        <w:rPr>
          <w:rFonts w:cs="Arial"/>
          <w:b/>
          <w:color w:val="000000"/>
          <w:szCs w:val="22"/>
        </w:rPr>
        <w:t xml:space="preserve"> </w:t>
      </w:r>
      <w:r w:rsidRPr="00EE100C">
        <w:rPr>
          <w:rFonts w:cs="Arial"/>
          <w:b/>
          <w:color w:val="000000"/>
          <w:szCs w:val="22"/>
        </w:rPr>
        <w:t>(</w:t>
      </w:r>
      <w:hyperlink r:id="rId5" w:history="1">
        <w:r w:rsidR="00A91AFF" w:rsidRPr="008E6091">
          <w:rPr>
            <w:rStyle w:val="Hyperlinkki"/>
            <w:rFonts w:cs="Arial"/>
            <w:b/>
            <w:szCs w:val="22"/>
          </w:rPr>
          <w:t>etunimi.sukunimi@syke.fi</w:t>
        </w:r>
      </w:hyperlink>
      <w:r w:rsidR="00B97EE7" w:rsidRPr="00EE100C">
        <w:rPr>
          <w:rStyle w:val="Hyperlinkki"/>
          <w:rFonts w:cs="Arial"/>
          <w:b/>
          <w:szCs w:val="22"/>
        </w:rPr>
        <w:t>)</w:t>
      </w:r>
    </w:p>
    <w:p w14:paraId="06B738AD" w14:textId="77777777" w:rsidR="00EE100C" w:rsidRDefault="00EE100C" w:rsidP="00DC0B31">
      <w:pPr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b/>
          <w:szCs w:val="22"/>
        </w:rPr>
      </w:pPr>
    </w:p>
    <w:p w14:paraId="54B6CE85" w14:textId="77777777" w:rsidR="004C48C4" w:rsidRPr="001A6A2E" w:rsidRDefault="004C48C4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</w:rPr>
      </w:pPr>
    </w:p>
    <w:p w14:paraId="1380FC26" w14:textId="07183179" w:rsidR="001A6A2E" w:rsidRDefault="004762BA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  <w:bookmarkStart w:id="1" w:name="_Hlk180239770"/>
      <w:r w:rsidRPr="004762BA">
        <w:rPr>
          <w:rStyle w:val="Hyperlinkki"/>
          <w:rFonts w:cs="Arial"/>
          <w:color w:val="000000" w:themeColor="text1"/>
          <w:szCs w:val="22"/>
          <w:u w:val="none"/>
          <w:lang w:val="en-US"/>
        </w:rPr>
        <w:t>EN 17211:2019</w:t>
      </w:r>
    </w:p>
    <w:p w14:paraId="3BF9131A" w14:textId="6CA722B5" w:rsidR="001A6A2E" w:rsidRDefault="004762BA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  <w:r w:rsidRPr="004762BA">
        <w:rPr>
          <w:rStyle w:val="Hyperlinkki"/>
          <w:rFonts w:cs="Arial"/>
          <w:color w:val="000000" w:themeColor="text1"/>
          <w:szCs w:val="22"/>
          <w:u w:val="none"/>
          <w:lang w:val="en-US"/>
        </w:rPr>
        <w:t>Water quality - Guidance on mapping of seagrasses and macroalgae in the eulittoral zone</w:t>
      </w:r>
    </w:p>
    <w:p w14:paraId="12C7D413" w14:textId="77777777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</w:p>
    <w:p w14:paraId="30EFDF02" w14:textId="5D5EA409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  <w:r w:rsidRPr="001A6A2E">
        <w:rPr>
          <w:rStyle w:val="Hyperlinkki"/>
          <w:rFonts w:cs="Arial"/>
          <w:color w:val="000000" w:themeColor="text1"/>
          <w:szCs w:val="22"/>
          <w:u w:val="none"/>
          <w:lang w:val="en-US"/>
        </w:rPr>
        <w:t>CEN/TS 17171:2018</w:t>
      </w:r>
    </w:p>
    <w:p w14:paraId="5FB9A6CC" w14:textId="10EEB704" w:rsidR="001A6A2E" w:rsidRP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  <w:r w:rsidRPr="001A6A2E">
        <w:rPr>
          <w:rStyle w:val="Hyperlinkki"/>
          <w:rFonts w:cs="Arial"/>
          <w:color w:val="000000" w:themeColor="text1"/>
          <w:szCs w:val="22"/>
          <w:u w:val="none"/>
          <w:lang w:val="en-US"/>
        </w:rPr>
        <w:t>Management of observed hydrometric data - Guidance</w:t>
      </w:r>
      <w:bookmarkEnd w:id="1"/>
    </w:p>
    <w:p w14:paraId="6A162C56" w14:textId="77777777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</w:p>
    <w:p w14:paraId="7F9D4043" w14:textId="35A084DF" w:rsidR="001A6A2E" w:rsidRP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  <w:r w:rsidRPr="001A6A2E">
        <w:rPr>
          <w:rStyle w:val="Hyperlinkki"/>
          <w:rFonts w:cs="Arial"/>
          <w:color w:val="000000" w:themeColor="text1"/>
          <w:szCs w:val="22"/>
          <w:u w:val="none"/>
          <w:lang w:val="en-US"/>
        </w:rPr>
        <w:t>EN 16457:2014</w:t>
      </w:r>
    </w:p>
    <w:p w14:paraId="6976FF72" w14:textId="78884784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  <w:r w:rsidRPr="001A6A2E">
        <w:rPr>
          <w:rStyle w:val="Hyperlinkki"/>
          <w:rFonts w:cs="Arial"/>
          <w:color w:val="000000" w:themeColor="text1"/>
          <w:szCs w:val="22"/>
          <w:u w:val="none"/>
          <w:lang w:val="en-US"/>
        </w:rPr>
        <w:t>Characterization of waste - Framework for the preparation and application of a testing programme - Objectives, planning and report</w:t>
      </w:r>
    </w:p>
    <w:p w14:paraId="45FCA311" w14:textId="77777777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</w:p>
    <w:p w14:paraId="4BCD4786" w14:textId="77777777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</w:p>
    <w:p w14:paraId="45F70E4C" w14:textId="77777777" w:rsidR="001A6A2E" w:rsidRDefault="001A6A2E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</w:p>
    <w:p w14:paraId="694F4A42" w14:textId="77777777" w:rsidR="004C48C4" w:rsidRPr="00A02252" w:rsidRDefault="004C48C4" w:rsidP="00C93583">
      <w:pPr>
        <w:pStyle w:val="Luettelokappale"/>
        <w:tabs>
          <w:tab w:val="left" w:pos="1800"/>
        </w:tabs>
        <w:autoSpaceDE w:val="0"/>
        <w:autoSpaceDN w:val="0"/>
        <w:adjustRightInd w:val="0"/>
        <w:rPr>
          <w:rStyle w:val="Hyperlinkki"/>
          <w:rFonts w:cs="Arial"/>
          <w:color w:val="000000" w:themeColor="text1"/>
          <w:szCs w:val="22"/>
          <w:u w:val="none"/>
          <w:lang w:val="en-US"/>
        </w:rPr>
      </w:pPr>
    </w:p>
    <w:sectPr w:rsidR="004C48C4" w:rsidRPr="00A02252" w:rsidSect="009517E7">
      <w:pgSz w:w="11906" w:h="16838" w:code="9"/>
      <w:pgMar w:top="851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085"/>
    <w:multiLevelType w:val="hybridMultilevel"/>
    <w:tmpl w:val="6492AB4C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A56E9"/>
    <w:multiLevelType w:val="hybridMultilevel"/>
    <w:tmpl w:val="2A0C65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670"/>
    <w:multiLevelType w:val="hybridMultilevel"/>
    <w:tmpl w:val="653C2A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06BA"/>
    <w:multiLevelType w:val="hybridMultilevel"/>
    <w:tmpl w:val="F962E0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B33CD"/>
    <w:multiLevelType w:val="hybridMultilevel"/>
    <w:tmpl w:val="453430CC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C33444"/>
    <w:multiLevelType w:val="hybridMultilevel"/>
    <w:tmpl w:val="6D62BD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01610"/>
    <w:multiLevelType w:val="hybridMultilevel"/>
    <w:tmpl w:val="361416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AF41DE0"/>
    <w:multiLevelType w:val="hybridMultilevel"/>
    <w:tmpl w:val="C0FC0DE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84ED9"/>
    <w:multiLevelType w:val="hybridMultilevel"/>
    <w:tmpl w:val="4A12EE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516D"/>
    <w:multiLevelType w:val="hybridMultilevel"/>
    <w:tmpl w:val="ED94DCA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FD7F29"/>
    <w:multiLevelType w:val="hybridMultilevel"/>
    <w:tmpl w:val="475A9F62"/>
    <w:lvl w:ilvl="0" w:tplc="040B000F">
      <w:start w:val="1"/>
      <w:numFmt w:val="decimal"/>
      <w:lvlText w:val="%1."/>
      <w:lvlJc w:val="left"/>
      <w:pPr>
        <w:ind w:left="2160" w:hanging="360"/>
      </w:p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3935640">
    <w:abstractNumId w:val="5"/>
  </w:num>
  <w:num w:numId="2" w16cid:durableId="898713659">
    <w:abstractNumId w:val="3"/>
  </w:num>
  <w:num w:numId="3" w16cid:durableId="249394550">
    <w:abstractNumId w:val="7"/>
  </w:num>
  <w:num w:numId="4" w16cid:durableId="1033265118">
    <w:abstractNumId w:val="2"/>
  </w:num>
  <w:num w:numId="5" w16cid:durableId="2145079836">
    <w:abstractNumId w:val="0"/>
  </w:num>
  <w:num w:numId="6" w16cid:durableId="283849258">
    <w:abstractNumId w:val="9"/>
  </w:num>
  <w:num w:numId="7" w16cid:durableId="947664689">
    <w:abstractNumId w:val="4"/>
  </w:num>
  <w:num w:numId="8" w16cid:durableId="293025518">
    <w:abstractNumId w:val="6"/>
  </w:num>
  <w:num w:numId="9" w16cid:durableId="2131583800">
    <w:abstractNumId w:val="10"/>
  </w:num>
  <w:num w:numId="10" w16cid:durableId="504634322">
    <w:abstractNumId w:val="1"/>
  </w:num>
  <w:num w:numId="11" w16cid:durableId="1400709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7"/>
    <w:rsid w:val="00065FBB"/>
    <w:rsid w:val="000B4BA3"/>
    <w:rsid w:val="000C76E6"/>
    <w:rsid w:val="000D39F6"/>
    <w:rsid w:val="000D3FB1"/>
    <w:rsid w:val="00131B0D"/>
    <w:rsid w:val="001378F1"/>
    <w:rsid w:val="001577CF"/>
    <w:rsid w:val="001A6A2E"/>
    <w:rsid w:val="001C4387"/>
    <w:rsid w:val="001E09A0"/>
    <w:rsid w:val="00226592"/>
    <w:rsid w:val="00271530"/>
    <w:rsid w:val="002A2231"/>
    <w:rsid w:val="002B7185"/>
    <w:rsid w:val="002D2971"/>
    <w:rsid w:val="003016A7"/>
    <w:rsid w:val="003300F7"/>
    <w:rsid w:val="00330D3C"/>
    <w:rsid w:val="0035272C"/>
    <w:rsid w:val="00456310"/>
    <w:rsid w:val="0047521C"/>
    <w:rsid w:val="004762BA"/>
    <w:rsid w:val="004878BB"/>
    <w:rsid w:val="004C48C4"/>
    <w:rsid w:val="00560691"/>
    <w:rsid w:val="006050F6"/>
    <w:rsid w:val="0064199E"/>
    <w:rsid w:val="006634D8"/>
    <w:rsid w:val="00684D98"/>
    <w:rsid w:val="00693F12"/>
    <w:rsid w:val="006C7545"/>
    <w:rsid w:val="006E3947"/>
    <w:rsid w:val="00721147"/>
    <w:rsid w:val="00734872"/>
    <w:rsid w:val="00741961"/>
    <w:rsid w:val="00753743"/>
    <w:rsid w:val="00814F10"/>
    <w:rsid w:val="00816493"/>
    <w:rsid w:val="0085477B"/>
    <w:rsid w:val="00863BB3"/>
    <w:rsid w:val="008936A9"/>
    <w:rsid w:val="0089553B"/>
    <w:rsid w:val="008B4FF0"/>
    <w:rsid w:val="008C2E6B"/>
    <w:rsid w:val="008D487B"/>
    <w:rsid w:val="00901E5A"/>
    <w:rsid w:val="00905A06"/>
    <w:rsid w:val="009517E7"/>
    <w:rsid w:val="009B4555"/>
    <w:rsid w:val="009E0B3C"/>
    <w:rsid w:val="00A02252"/>
    <w:rsid w:val="00A81FBB"/>
    <w:rsid w:val="00A84A01"/>
    <w:rsid w:val="00A91AFF"/>
    <w:rsid w:val="00AC33AC"/>
    <w:rsid w:val="00AC38B8"/>
    <w:rsid w:val="00AF4DE8"/>
    <w:rsid w:val="00AF58A3"/>
    <w:rsid w:val="00B60BB3"/>
    <w:rsid w:val="00B6738A"/>
    <w:rsid w:val="00B97EE7"/>
    <w:rsid w:val="00C661EE"/>
    <w:rsid w:val="00C75624"/>
    <w:rsid w:val="00C93583"/>
    <w:rsid w:val="00CB6C53"/>
    <w:rsid w:val="00CC3298"/>
    <w:rsid w:val="00CF0C36"/>
    <w:rsid w:val="00D52A1F"/>
    <w:rsid w:val="00D55785"/>
    <w:rsid w:val="00D57921"/>
    <w:rsid w:val="00DA4305"/>
    <w:rsid w:val="00DC0B31"/>
    <w:rsid w:val="00DE3513"/>
    <w:rsid w:val="00DF4F57"/>
    <w:rsid w:val="00E01C24"/>
    <w:rsid w:val="00E2709A"/>
    <w:rsid w:val="00E33794"/>
    <w:rsid w:val="00E82E09"/>
    <w:rsid w:val="00EB5EB9"/>
    <w:rsid w:val="00EE100C"/>
    <w:rsid w:val="00EE27DB"/>
    <w:rsid w:val="00F02BE8"/>
    <w:rsid w:val="00F37D41"/>
    <w:rsid w:val="00F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BEE"/>
  <w15:docId w15:val="{4B974844-A943-464D-839A-2B933A1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16A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33794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35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A9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unimi.sukunimi@syk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Holmsten Anja</dc:creator>
  <cp:lastModifiedBy>Nuutinen Jari</cp:lastModifiedBy>
  <cp:revision>3</cp:revision>
  <cp:lastPrinted>2024-01-15T07:49:00Z</cp:lastPrinted>
  <dcterms:created xsi:type="dcterms:W3CDTF">2024-10-19T11:17:00Z</dcterms:created>
  <dcterms:modified xsi:type="dcterms:W3CDTF">2024-10-19T11:19:00Z</dcterms:modified>
</cp:coreProperties>
</file>